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585</w:t>
      </w:r>
    </w:p>
    <w:p>
      <w:r>
        <w:t>Bundesgericht (BGE), 1968-12-04, IT</w:t>
      </w:r>
    </w:p>
    <w:p>
      <w:r>
        <w:rPr>
          <w:b/>
        </w:rPr>
        <w:t xml:space="preserve">Quelle: </w:t>
      </w:r>
      <w:r>
        <w:t>https://mcp.opencaselaw.ch/entscheid/bge_94 I 585</w:t>
      </w:r>
    </w:p>
    <w:p>
      <w:r>
        <w:t>FR: ATF 94 I 585</w:t>
      </w:r>
    </w:p>
    <w:p>
      <w:r>
        <w:t>IT: DTF 94 I 585</w:t>
      </w:r>
    </w:p>
    <w:p>
      <w:pPr>
        <w:pStyle w:val="Heading2"/>
      </w:pPr>
      <w:r>
        <w:t>Regeste</w:t>
      </w:r>
    </w:p>
    <w:p>
      <w:r>
        <w:t>Regeste Erschöpfung des kantonalen Instanzenzuges (Art. 87 OG). Besteuerung der zu einem Anlagefonds gehörenden Immobiliengesellschaften. 1. Wenn die Steuerrekursbehörde die Steuerfaktoren ändert, aber der Veranlagungsbehörde die Berechnung des geschuldeten Steuerbetragesüberlässt, bildet die von der Veranlagungsbehörde erstellte Steuerrechnung den Endentscheid im Sinne des Art. 87 OG. Mit der staatsrechtlichen Beschwerde gegen diesen letzten Entscheid kann der Steuerpflichtige auch den Entscheid anfechten, der die Steuerfaktoren festgesetzt hat, ohne die kantonalen Instanzen nochmals zu erschöpfen (Erw. 1). 2. Die Urteile des Bundesgerichts über staatsrechtliche Beschwerden wegen Verletzung des Art. 4 BV haben grundsätzlich rein kassatorische Wirkung. Daraus folgt, dass - unter Vorbehalt der Fälle, in denen das Bundesgericht ausdrücklich eine Ausnahme von jenem Grundsatz macht - die Aufhebung des angefochtenen Entscheids die vorherige prozessuale Lage wiederherstellt. Die kantonale Rekursbehörde, die anstelle des aufgehobenen einen neuen Entscheid fällt, kann daher, ohne Bundesrecht zu verletzen, die Steuerfaktoren aufgrund neuer oder anderer als dem aufgehobenen Entscheid zugrunde liegender Tatsachen und Rechtsgründe bestimmen (Erw. 2). 3. Tragweite des unmittelbar aus Art. 4 BV folgenden Anspruchs des Steuerpflichtigen auf rechtliches Gehör (Erw. 3). 4. Es ist nicht willkürlich, Art. 43 § des Tessiner Steuergesetzes, der den Abzug der Darlehensschulden gegenüber Kreditinstituten betrifft, nicht auf Schulden gegenüber Anlagefonds anzuwenden (Erw. 4). 5. Anwendung der wirtschaftlichen Betrachtungsweise auf den Abzug der Schulden der zu einem Anlagefonds gehörenden Immobiliengesellschaften (Erw. 5).</w:t>
      </w:r>
    </w:p>
    <w:p>
      <w:pPr>
        <w:pStyle w:val="Heading2"/>
      </w:pPr>
      <w:r>
        <w:t>Erwägungen</w:t>
      </w:r>
    </w:p>
    <w:p>
      <w:r>
        <w:rPr>
          <w:b/>
        </w:rPr>
        <w:t>E. 1</w:t>
      </w:r>
    </w:p>
    <w:p>
      <w:r>
        <w:t>I giudizi delle autorità di ricorso in materia d'imposta, nei quali - come in concreto nella sentenza 26 febbraio 1968 BGE 94 I 585 S. 591 della Corte cantonale - è disposta una modificazione dei fattori imponibili, ma è deferito all'autorità tributaria il compito di precisare l'imposta dovuta, costituiscono decisioni incidentali che, ai sensi dell' art. 87 OG , non sono direttamente impugnabili mediante ricorso di diritto pubblico. In detti casi è considerato come decisione finale il conteggio definitivo, successivamente stabilito dall'autorità tributaria. Interponendo il ricorso contro quest'ultima decisione, il contribuente può ancora impugnare il giudizio che ha stabilito i fattori imponibili senza nuovamente esaurire le istanze cantonali. Esso può però anche contestare che i fattori imponibili, sui quali si è fondata l'autorità tributaria, non corrispondono al giudizio dell'autorità di ricorso (Cfr. RU 93 I 453 consid. 2 e citazioni). Il ricorso di cui qui si tratta è perciò senz'altro tempestivo per quanto inteso a impugnare determinati fattori imponibili stabiliti dalla Corte cantonale; lo è, nel caso particolare, anche per quanto concerne la censura rivolta all'autorità tributaria di non aver tenuto conto nel suo conteggio della totale deduzione del debito ipotecario verso l'Unione di banche svizzere, già presupposta dalla Corte cantonale. Il nuovo esaurimento delle istanze cantonali, proposto dall'ACC a quest'ultimo riguardo, costituirebbe una vacua complicazione formale.</w:t>
      </w:r>
    </w:p>
    <w:p>
      <w:r>
        <w:rPr>
          <w:b/>
        </w:rPr>
        <w:t>E. 2</w:t>
      </w:r>
    </w:p>
    <w:p>
      <w:r>
        <w:t>Con sentenza 25 maggio 1966, il Tribunale federale ha costatato che l'art. 43 LT, secondo il quale devono essere dedotti i debiti verso persone che per il corrispondente credito soggiaciono all'imposta in Svizzera, è conforme alla giurisprudenza stabilita, in applicazione degli art. 4 e 46 CF, per i casi in cui il creditore sia domiciliato in un cantone diverso da quello del debitore. Ciò stante, esso ha esaminato il giudizio cantonale dal profilo dell'arbitrio, tenendo conto che l'autorità cantonale, nella risposta al ricorso, aveva riconosciuto come creditrice della contribuente la Wistag AG di Olten. È ne ha concluso che, quest'ultima essendo almeno virtualmente tenuta a pagare le imposte per il corrispondente credito nel Cantone Soletta, il rifiuto dell'autorità cantonale di ammettere in deduzione il controverso debito costituiva arbitraria applicazione dell'art. 43 LT. Le sentenze del Tribunale federale pronunciate in applicazione dell'art. 4 CF hanno, di regola, mero effetto cassatorio (RU 89 I 368 consid. 1, 90 I 348). Qualora facciano eccezione alla regola, come nei casi di rifiuto da parte dell'autorità cantonale di permessi BGE 94 I 585 S. 592 di polizia, il Tribunale si esprime al riguardo in modo esplicito. Nella sentenza del 25 maggio 1966 non è espressa alcuna eccezione; vi è anzi esplicitamente dichiarato che all'autorità cantonale permaneva il compito "di accertare la sostanza e il reddito imponibili". Ne consegue che, annullata la decisione della CCR, risultava ripristinata la situazione processuale antecedente a tale decisione. Contrariamente a quanto afferma la ricorrente, nessuna disposizione di diritto federale impediva alla Camera di diritto tributario di fondare il suo giudizio su motivi diversi da quelli che la CCR aveva posto a fondamento del giudizio annullato. D'altronde, la ricorrente non ha asserito, ed a giusta ragione, che la Corte cantonale fosse vincolata ai precedenti motivi dalle leggi processuali del Cantone. Una siffatta limitazione sarebbe immaginabile solo se la legge vincolasse il giudizio dell'autorità di ricorso ai fatti ed ai motivi proposti dalle parti in un determinato stadio della procedura. Ma ciò non è il caso in concreto, perchè - come fatto rilevare in questa sede dall'ACC - l'art. 50 della legge ticinese di procedura tributaria dispone che la Camera di diritto tributario "procede all'istruzione del ricorso e alle indagini necessarie senza essere vincolata alle domande delle parti". Secondo la ricorrente, qualora - come in concreto - l'autorità di ricorso intenda assumere a fondamento del suo giudizio una motivazione diversa da quella della decisione annullata, dovrebbe rinviare le parti davanti alle precedenti istanze. Agendo altrimenti, negherebbe al contribuente i precedenti rimedi id diritto cantonale e commetterebbe, quindi, un diniego di giustizia. Come già fatto rilevare a proposito della tempestività del ricorso, un nuovo esaurimento delle istanze cantonali costituirebbe una inutile complicazione formale; tanto più che secondo l'anzidetto art. 50 della procedura tributaria, nell'accertamento della fattispecie fiscale, alla Camera di diritto tributario competono "le medesime facoltà dell'autorità di tassazione". Rispettato il principio che l'art. 43 LT era applicabile al debito della contribuente, la Corte cantonale era pertanto libera di stabilire i dati imponibili su fatti e motivi nuovi o diversi da quelli sui quali la CCR aveva fondato la sua decisione del 14 gennaio 1966. Peraltro, visto che la sentenza del Tribunale federale non la vincolava ad una decisione determinata, nulla le impediva di giungere a conclusioni diverse da quelle perseguite BGE 94 I 585 S. 593 dal ricorrente con il ricorso al Tribunale federale. Essa poteva quindi, sulla base di nuovi fatti e nuovi motivi, procedere anche ad un nuovo accertamento dell'ammontare del debito. Al riguardo era tenuta soltanto a dare alla contribuente la possibilità di esprimersi sulle nuove proposte dell'ACC.</w:t>
      </w:r>
    </w:p>
    <w:p>
      <w:r>
        <w:rPr>
          <w:b/>
        </w:rPr>
        <w:t>E. 3</w:t>
      </w:r>
    </w:p>
    <w:p>
      <w:r>
        <w:t>La ricorrente ha accennato anche a un "nicht rechtliches Gehör", ma l'ha fatto a mero complemento dell'eccezione di omissione delle istanze cantonali. Non ha dichiarato di aver ignorato la proposta dell'ACC intesa a far determinare i dati imponibili sulla base di una valutazione economica, nè ha indicato quali norme la Corte cantonale avrebbe in proposito trasgredite. Nel caso che, con l'espressione suesposta, la ricorrente avesse inteso proporre l'eccezione di trasgressione del suo diritto di essere sentita, la sua motivazione al riguardo difetterebbe comunque delle esigenze di cui all'art. 90 cpv. lett. b OG. Peraltro, dagli atti si può desumere che, almeno nei limiti in cui è direttamente garantito dall'art. 4 CF (RU 87 I 339, 89 I 241 consid. 3), il diritto della contribuente ad essere sentita è stato rispettato. Vero è che nessun dato di fatto consente di ritenere che la lettera 15 febbraio 1968, mediante la quale l'ACC ha precisato la sua proposta, sia stata trasmessa alla ricorrente per le sue osservazioni. Tuttavia, risulta dalla sentenza impugnata - ed in proposito la ricorrente non ha sollevato contestazioni - che, nell'udienza del 12 gennaio 1968, l'ACC aveva già formulato diverse proposte e che le parti avevano avuto "ampia occasione di difendere i rispettivi punti di vista". Del resto, dal modo come sono formulate le conclusioni della lettera 15 febbraio 1968 dell'ACC, si deve dedurre che si tratta di tesi già discusse nell'udienza suindicata, alla quale la lettera fa esplicito riferimento. Non vi è quindi motivo di ammettere che alla ricorrente sia stata misconosciuta la possibilità di prendere tempestivamente conoscenza della proposta fondamentale della controparte e di esporre al riguardo i motivi della sua opposizione. Ciò stante, qualora la Esedra Anstalt avesse realmente inteso far valere di non essere stata sentita, la sua eccezione, in quanto direttamente riferita all'art. 4 CF, sarebbe ad ogni modo infondata.</w:t>
      </w:r>
    </w:p>
    <w:p>
      <w:r>
        <w:rPr>
          <w:b/>
        </w:rPr>
        <w:t>E. 4</w:t>
      </w:r>
    </w:p>
    <w:p>
      <w:r>
        <w:t>Con la sentenza del 25 maggio 1966, il Tribunale federale ha dichiarato irricevibili alcune impugnazioni della contribuente perchè, non essendo stato dimostrato l'obbligo della Corte cantonale di esaminarle d'ufficio e non essendo state proposte BGE 94 I 585 S. 594 in quella sede, non potevano costituire fondamento di un ricorso per arbitrio. La ricorrente pretende ora di aver diritto di riproporle, dal momento che si consente alla Corte cantonale di fondare il suo giudizio su una nuova motivazione. In realtà, è chiaro che la ricorrente può opporre alla nuova motivazione ogni eccezione che abbia pertinenza con la stessa, come è il caso per la contestazione di illegalità della riattivazione, sia pure parziale, del debito professato verso lo Swissfonds, la qual contestazione si immedesima con la censura di arbitraria applicazione del criterio di valutazione economica della fattispecie fiscale. La ricorrente riafferma però di aver diritto alla totale deduzione del debito in conto corrente verso lo Swiss-fonds, anche sulla base della norma speciale dell'art. 43 § LT, secondo cui i mutui fissi in conto corrente presso istituti di credito sono pure deducibili. Essa pretende che i fondi di investimento sono pure istituti di credito, onde il rifiuto di ammettere l'integrale deducibilità del suo debito in conto corrente verso lo Swissfonds costituirebbe una disparità di trattamento rispetto ai correntisti delle banche, i cui mutui fissi sono senz'altro totalemente dedotti. Una siffatta contestazione è ricevibile con il ricorso qui in discussione solo nel caso che la ricorrente l'abbia proposta all'ultima istanza del Cantone, in occasione della riapertura del procedimento cantonale o dimostri ora che la Corte cantonale doveva tenerne conto d'ufficio. Tale questione non deve però essere necessariamente risolta, perchè la censura di ineguale applicazione dell'art. 43 § LT è comunque infondata. Per istituto di credito nel senso di detta norma s'intende evidentemente non ogni ente che, come i fondi di investimento, si rivolge al pubblico nell'intento di raccogliere capitali, ma solo quelli, come le banche, aventi anche la funzione normale di concedere crediti ad ogni persona che adempie le condizioni prestabilite. Tale compito non è proprio al fondo di investimento e, tantomeno, alla creditrice Wistag AG; per cui la Corte cantonale, non tenendo conto dell'art. 43 § LT nel determinare la deducibilità del debito della ricorrente, non può certo aver commesso un arbitrio.</w:t>
      </w:r>
    </w:p>
    <w:p>
      <w:r>
        <w:rPr>
          <w:b/>
        </w:rPr>
        <w:t>E. 5</w:t>
      </w:r>
    </w:p>
    <w:p>
      <w:r>
        <w:t>Nel determinare i fattori imponibili del contribuente si tiene conto anzitutto, specie se si tratta come in concreto di persone giuridiche, della situazione risultante dai rapporti di diritto civile. L'autorità tributaria non è però vincolata a un BGE 94 I 585 S. 595 siffatto accertamento. Essa può determinare la fattispecie fiscale anche sulla base di una valutazione economica dei dati forniti dal contribuente o comunque accertati. In quanto si tratti di imposte cantonali, questo criterio di valutazione, purchè sia imposto da elementi oggettivi e giustificato da considerazioni ragionevoli, non è in sè arbitrario (RU 90 I 221 e citazioni). La ricorrente nega che nel suo caso i presupposti suindicati siano adempiuti; essa contesta segnatamente che ricorrano gli estremi ammessi in casi speciali dalla giurisprudenza (Archiv 27, 190; 34, 87). In effetti, la situazione di una società come l'Esedra Anstalt, avente solo fr. 10 000.-- di capitale proprio, e nondimeno in condizione di comperare immobili per un valore di fr. 950 000.-- e di amministrarli, e che ottiene un prestito in conto corrente di oltre fr. 1 100 000.--, è artificiosa ed estranea alle reali possibilità di una persona giuridica di tale natura. Ciò stante non è arbitrario ritenere che la contribuente possa essere stata così organizzata al fine di eludere l'accertamento di elementi imponibili che un ordinamento adeguato avrebbe chiaramente rivelato. Basta pensare che una perdita relativamente esigua di fr. 10 000.-- in un determinato esercizio comporterebbe un bilancio passivo. In realtà, detta situazione è risultata possibile solo perchè l'Esedra costituisce - come ammette la stessa ricorrente - una "Hilfsgesellschaft immobiliare" dello Swissfonds. Questa circostanza permetteva al fondo di investimento di mettere a disposizione della ricorrente un capitale che non avrebbe concesso a un terzo nelle stesse condizioni; e poteva farlo senza preoccuparsi delle conseguenze che avrebbero potuto sorgere in caso di insolvenza della debitrice. In tali condizioni, l'autorità tributaria non è vincolata alla situazione di diritto civile stabilita dagli interessati; essa può accertare i fattori imponibili su dati più conformi alla reale e normale situazione economica del contribuente. Nella misura in cui poteva ritenere che, in un normale ordinamento economico, i mezzi messi a disposizione dallo Swissfonds all'Esedra avrebbero costituito non un debito ma capitale proprio della persona giuridica, l'autorità cantonale, rifiutandosi di applicare l'art. 43 LT, non può aver commesso un arbitrio. D'altronde, e contrariamente a quanto afferma la ricorrente, la Corte cantonale, imponendo la somma corrispondente come sostanza e i relativi interessi come reddito, non ha imposto un BGE 94 I 585 S. 596 debito ma i mezzi che poteva considerare, senza arbitrio, come propri della contribuente. La ricorrente non pretende che la determinazione di detto capitale sulla base del 20% del debito sia esagerata. Comunque, visto che l'Esedra è proprietaria di immobili stimati ufficialmente solo fr. 435 076.-- si deve ammettere che detta percentuale non è eccessiva: la contribuente non avrebbe potuto ottenere un credito in conto corrente di oltre fr. 1 110 000.--, se non avesse potuto disporre di una somma corrispondente, per almeno il 20%, a questo ammontare.</w:t>
      </w:r>
    </w:p>
    <w:p>
      <w:r>
        <w:rPr>
          <w:b/>
        </w:rPr>
        <w:t>E. 6</w:t>
      </w:r>
    </w:p>
    <w:p>
      <w:r>
        <w:t>L'ACC, procedendo alla tassazione dei dati imponibili stabiliti dalla Corte cantonale, ha però applicato la proporzione del 20% non solo al debito verso lo Swissfonds, rispettivamente verso la Wistag AG, ma alle passività complessive, compreso quindi anche il prestito ipotecario professato verso l'Unione di banche svizzere. Ora, nel procedimento di imposizione, la deduzione di questo prestito è sempre rimasta pacifica. Anche nella definitiva sentenza della Corte cantonale è parola soltanto del debito verso lo Swissfonds. Ciò stante, l'ACC poteva tener conto solo di questo debito; non era autorizzata ad estendere il parziale rifiuto di applicare l'art. 43 LT anche al prestito bancario, nè poteva tenerne conto nel determinare i mezzi propri della contribuente. A tale riguardo la decisione dell'autorità fiscale è arbitraria. Ne consegue che, in quanto determina l'imposta sulla sostanza, oltre che sul capitale sociale, su un imponibile pari al 20% di fr. 1 257 718.-- (somma complessiva dei debiti), invece di fr. 1 185 718.-- (debito verso lo Swissfonds), e l'imposta sul reddito sull'imponibile del 4.50% di un capitale di fr. 243 543.--, invece di fr. 227 143, la decisione dell'ACC deve essere annullata. Dispositiv Il Tribunale federale pronuncia: In quanto nega la deduzione del capitale e degli interessi relativi al debito ipotecario di fr. 72 000.--, la decisione dell'Amministrazione delle contribuzioni è annullata. Per il resto,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